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r>
      <w:r w:rsidR="00DA1E8B" w:rsidRPr="00DA1E8B">
        <w:t>R1-1609618</w:t>
      </w:r>
      <w:bookmarkStart w:id="0" w:name="_GoBack"/>
      <w:bookmarkEnd w:id="0"/>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08538A">
        <w:t>slots and mini-slots</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537B4C">
        <w:t>8</w:t>
      </w:r>
      <w:r w:rsidR="008F77A7" w:rsidRPr="00537B4C">
        <w:t>.1.</w:t>
      </w:r>
      <w:r w:rsidR="0008538A">
        <w:t>2.2</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08538A" w:rsidRDefault="00DB3BC8" w:rsidP="00DB3BC8">
      <w:pPr>
        <w:pStyle w:val="BodyText"/>
      </w:pPr>
      <w:r>
        <w:t>At RAN1#86</w:t>
      </w:r>
      <w:r w:rsidR="0056282E">
        <w:t xml:space="preserve">, </w:t>
      </w:r>
      <w:r w:rsidR="0008538A">
        <w:t xml:space="preserve">a structure based on slots and mini-slots were agreed where (in brief) a slot consists of </w:t>
      </w:r>
      <w:r w:rsidR="0008538A">
        <w:rPr>
          <w:i/>
        </w:rPr>
        <w:t>y</w:t>
      </w:r>
      <w:r w:rsidR="0008538A">
        <w:t xml:space="preserve"> symbols in the numerology used for transmission and an integer number of slots fitting within a </w:t>
      </w:r>
      <w:proofErr w:type="spellStart"/>
      <w:r w:rsidR="0008538A">
        <w:t>subframe</w:t>
      </w:r>
      <w:proofErr w:type="spellEnd"/>
      <w:r w:rsidR="0008538A">
        <w:t xml:space="preserve">. A mini-slot supports transmission of less than </w:t>
      </w:r>
      <w:r w:rsidR="0008538A">
        <w:rPr>
          <w:i/>
        </w:rPr>
        <w:t>y</w:t>
      </w:r>
      <w:r w:rsidR="0008538A">
        <w:t xml:space="preserve"> symbols.</w:t>
      </w:r>
    </w:p>
    <w:p w:rsidR="00587AD2" w:rsidRDefault="0008538A" w:rsidP="00DB3BC8">
      <w:pPr>
        <w:pStyle w:val="BodyText"/>
      </w:pPr>
      <w:r>
        <w:t>In this contribution we provide more details on the properties of slots and mini-slots.</w:t>
      </w:r>
      <w:r w:rsidR="00CB4D3D">
        <w:t xml:space="preserve"> </w:t>
      </w:r>
    </w:p>
    <w:p w:rsidR="0008538A" w:rsidRDefault="0008538A" w:rsidP="0008538A">
      <w:pPr>
        <w:pStyle w:val="Heading1"/>
        <w:spacing w:before="180"/>
        <w:ind w:left="562" w:hanging="562"/>
      </w:pPr>
      <w:r>
        <w:t>What to achieve?</w:t>
      </w:r>
    </w:p>
    <w:p w:rsidR="00D35026" w:rsidRPr="00D35026" w:rsidRDefault="00D35026" w:rsidP="00D35026">
      <w:pPr>
        <w:pStyle w:val="BodyText"/>
      </w:pPr>
      <w:r>
        <w:t>The slot/mini-slot structures should support the following:</w:t>
      </w:r>
    </w:p>
    <w:p w:rsidR="0008538A" w:rsidRPr="0008538A" w:rsidRDefault="0008538A" w:rsidP="0008538A">
      <w:pPr>
        <w:pStyle w:val="BodyText"/>
        <w:numPr>
          <w:ilvl w:val="0"/>
          <w:numId w:val="20"/>
        </w:numPr>
      </w:pPr>
      <w:r w:rsidRPr="0008538A">
        <w:t>Slot size suitable for MBB traffic</w:t>
      </w:r>
    </w:p>
    <w:p w:rsidR="0008538A" w:rsidRPr="0008538A" w:rsidRDefault="0008538A" w:rsidP="0008538A">
      <w:pPr>
        <w:pStyle w:val="BodyText"/>
        <w:numPr>
          <w:ilvl w:val="0"/>
          <w:numId w:val="20"/>
        </w:numPr>
      </w:pPr>
      <w:proofErr w:type="spellStart"/>
      <w:r w:rsidRPr="0008538A">
        <w:t>Subframe</w:t>
      </w:r>
      <w:proofErr w:type="spellEnd"/>
      <w:r w:rsidRPr="0008538A">
        <w:t xml:space="preserve"> boundary aligned to a slot boundary</w:t>
      </w:r>
    </w:p>
    <w:p w:rsidR="0008538A" w:rsidRPr="0008538A" w:rsidRDefault="0008538A" w:rsidP="0008538A">
      <w:pPr>
        <w:pStyle w:val="BodyText"/>
        <w:numPr>
          <w:ilvl w:val="0"/>
          <w:numId w:val="20"/>
        </w:numPr>
      </w:pPr>
      <w:r w:rsidRPr="0008538A">
        <w:t>Mini-slot with small size suitable for URLLC traffic</w:t>
      </w:r>
    </w:p>
    <w:p w:rsidR="0008538A" w:rsidRPr="0008538A" w:rsidRDefault="0008538A" w:rsidP="0008538A">
      <w:pPr>
        <w:pStyle w:val="BodyText"/>
        <w:numPr>
          <w:ilvl w:val="0"/>
          <w:numId w:val="20"/>
        </w:numPr>
      </w:pPr>
      <w:r w:rsidRPr="0008538A">
        <w:t>Possibility to start transmission on “any” OFDM symbol (for URLLC and operation in unlicensed bands)</w:t>
      </w:r>
    </w:p>
    <w:p w:rsidR="0008538A" w:rsidRPr="0008538A" w:rsidRDefault="0008538A" w:rsidP="0008538A">
      <w:pPr>
        <w:pStyle w:val="BodyText"/>
        <w:numPr>
          <w:ilvl w:val="0"/>
          <w:numId w:val="20"/>
        </w:numPr>
      </w:pPr>
      <w:r w:rsidRPr="0008538A">
        <w:t>Possibility to schedule individual slots</w:t>
      </w:r>
    </w:p>
    <w:p w:rsidR="0008538A" w:rsidRPr="0008538A" w:rsidRDefault="0008538A" w:rsidP="0008538A">
      <w:pPr>
        <w:pStyle w:val="BodyText"/>
        <w:numPr>
          <w:ilvl w:val="0"/>
          <w:numId w:val="20"/>
        </w:numPr>
      </w:pPr>
      <w:r w:rsidRPr="0008538A">
        <w:t>Possibility to schedule multiple slots at a single control occasion</w:t>
      </w:r>
    </w:p>
    <w:p w:rsidR="0008538A" w:rsidRPr="0008538A" w:rsidRDefault="0008538A" w:rsidP="0008538A">
      <w:pPr>
        <w:pStyle w:val="BodyText"/>
        <w:numPr>
          <w:ilvl w:val="0"/>
          <w:numId w:val="20"/>
        </w:numPr>
      </w:pPr>
      <w:r w:rsidRPr="0008538A">
        <w:t>Both individual control of different slots and “slot aggregation” for longer durations</w:t>
      </w:r>
    </w:p>
    <w:p w:rsidR="0008538A" w:rsidRPr="0008538A" w:rsidRDefault="0008538A" w:rsidP="0008538A">
      <w:pPr>
        <w:pStyle w:val="BodyText"/>
        <w:numPr>
          <w:ilvl w:val="0"/>
          <w:numId w:val="20"/>
        </w:numPr>
      </w:pPr>
      <w:r w:rsidRPr="0008538A">
        <w:t>Possibility for fast feedback at the end of a slot</w:t>
      </w:r>
    </w:p>
    <w:p w:rsidR="0008538A" w:rsidRPr="0008538A" w:rsidRDefault="0008538A" w:rsidP="0008538A">
      <w:pPr>
        <w:pStyle w:val="BodyText"/>
        <w:numPr>
          <w:ilvl w:val="0"/>
          <w:numId w:val="20"/>
        </w:numPr>
      </w:pPr>
      <w:r w:rsidRPr="0008538A">
        <w:t>Possibility to schedule individual mini-slots</w:t>
      </w:r>
    </w:p>
    <w:p w:rsidR="0008538A" w:rsidRPr="0008538A" w:rsidRDefault="0008538A" w:rsidP="0008538A">
      <w:pPr>
        <w:pStyle w:val="BodyText"/>
        <w:numPr>
          <w:ilvl w:val="0"/>
          <w:numId w:val="20"/>
        </w:numPr>
      </w:pPr>
      <w:r w:rsidRPr="0008538A">
        <w:t>Possibility for fast feedback at the end of a mini-slot (?)</w:t>
      </w:r>
    </w:p>
    <w:p w:rsidR="0008538A" w:rsidRDefault="0008538A" w:rsidP="0008538A">
      <w:pPr>
        <w:pStyle w:val="BodyText"/>
        <w:numPr>
          <w:ilvl w:val="0"/>
          <w:numId w:val="20"/>
        </w:numPr>
      </w:pPr>
      <w:r w:rsidRPr="0008538A">
        <w:t>Possibility to run the system such that (some</w:t>
      </w:r>
      <w:r w:rsidR="00DA1E8B">
        <w:t xml:space="preserve"> of the</w:t>
      </w:r>
      <w:r w:rsidRPr="0008538A">
        <w:t>) UL feedback never collides with DL from other cells in TDD</w:t>
      </w:r>
    </w:p>
    <w:p w:rsidR="0008538A" w:rsidRPr="0008538A" w:rsidRDefault="0008538A" w:rsidP="0008538A">
      <w:pPr>
        <w:pStyle w:val="Heading1"/>
        <w:spacing w:before="180"/>
        <w:ind w:left="562" w:hanging="562"/>
      </w:pPr>
      <w:bookmarkStart w:id="4" w:name="_Ref462915871"/>
      <w:r>
        <w:t>Proposal</w:t>
      </w:r>
      <w:bookmarkEnd w:id="4"/>
    </w:p>
    <w:p w:rsidR="0008538A" w:rsidRDefault="00D35026" w:rsidP="0008538A">
      <w:pPr>
        <w:pStyle w:val="BodyText"/>
      </w:pPr>
      <w:r>
        <w:t>Based on the views and comments expressed at RAN1386, t</w:t>
      </w:r>
      <w:r w:rsidR="0008538A">
        <w:t>he following characteristics of a slot and mini-slot are proposed as a possible way forward:</w:t>
      </w:r>
    </w:p>
    <w:p w:rsidR="0008538A" w:rsidRPr="0008538A" w:rsidRDefault="0008538A" w:rsidP="0008538A">
      <w:pPr>
        <w:pStyle w:val="BodyText"/>
        <w:numPr>
          <w:ilvl w:val="0"/>
          <w:numId w:val="23"/>
        </w:numPr>
      </w:pPr>
      <w:r w:rsidRPr="0008538A">
        <w:t>Slot</w:t>
      </w:r>
    </w:p>
    <w:p w:rsidR="0008538A" w:rsidRPr="0008538A" w:rsidRDefault="0008538A" w:rsidP="0008538A">
      <w:pPr>
        <w:pStyle w:val="BodyText"/>
        <w:numPr>
          <w:ilvl w:val="1"/>
          <w:numId w:val="23"/>
        </w:numPr>
      </w:pPr>
      <w:r w:rsidRPr="0008538A">
        <w:t>7 OFDM symbols long in the numerology used for transmission</w:t>
      </w:r>
    </w:p>
    <w:p w:rsidR="0008538A" w:rsidRPr="0008538A" w:rsidRDefault="0008538A" w:rsidP="0008538A">
      <w:pPr>
        <w:pStyle w:val="BodyText"/>
        <w:numPr>
          <w:ilvl w:val="1"/>
          <w:numId w:val="23"/>
        </w:numPr>
      </w:pPr>
      <w:r w:rsidRPr="0008538A">
        <w:t>Can be aggregated with subsequent slots such that one transmission spans a sequence of slots</w:t>
      </w:r>
      <w:r w:rsidR="00D35026">
        <w:t>, e.g. to create a 14-symbol long transmission.</w:t>
      </w:r>
    </w:p>
    <w:p w:rsidR="0008538A" w:rsidRPr="0008538A" w:rsidRDefault="0008538A" w:rsidP="0008538A">
      <w:pPr>
        <w:pStyle w:val="BodyText"/>
        <w:numPr>
          <w:ilvl w:val="1"/>
          <w:numId w:val="23"/>
        </w:numPr>
      </w:pPr>
      <w:r w:rsidRPr="0008538A">
        <w:t>May have DL ctrl at the beginning</w:t>
      </w:r>
    </w:p>
    <w:p w:rsidR="0008538A" w:rsidRPr="0008538A" w:rsidRDefault="0008538A" w:rsidP="0008538A">
      <w:pPr>
        <w:pStyle w:val="BodyText"/>
        <w:numPr>
          <w:ilvl w:val="1"/>
          <w:numId w:val="23"/>
        </w:numPr>
      </w:pPr>
      <w:r w:rsidRPr="0008538A">
        <w:t>May have UL ctrl at the end</w:t>
      </w:r>
    </w:p>
    <w:p w:rsidR="0008538A" w:rsidRPr="0008538A" w:rsidRDefault="0008538A" w:rsidP="0008538A">
      <w:pPr>
        <w:pStyle w:val="BodyText"/>
        <w:numPr>
          <w:ilvl w:val="1"/>
          <w:numId w:val="23"/>
        </w:numPr>
      </w:pPr>
      <w:r w:rsidRPr="0008538A">
        <w:t>May start at a multiple of 7 OFDM symbols</w:t>
      </w:r>
      <w:r w:rsidR="00D35026">
        <w:t xml:space="preserve"> only</w:t>
      </w:r>
      <w:r w:rsidRPr="0008538A">
        <w:t xml:space="preserve"> </w:t>
      </w:r>
      <w:r w:rsidR="002363B8">
        <w:sym w:font="Wingdings 3" w:char="F0C6"/>
      </w:r>
      <w:r w:rsidRPr="0008538A">
        <w:t xml:space="preserve"> </w:t>
      </w:r>
      <w:proofErr w:type="spellStart"/>
      <w:r w:rsidRPr="0008538A">
        <w:t>subframe</w:t>
      </w:r>
      <w:proofErr w:type="spellEnd"/>
      <w:r w:rsidRPr="0008538A">
        <w:t xml:space="preserve"> start aligned with a slot boundary</w:t>
      </w:r>
    </w:p>
    <w:p w:rsidR="0008538A" w:rsidRPr="0008538A" w:rsidRDefault="0008538A" w:rsidP="0008538A">
      <w:pPr>
        <w:pStyle w:val="BodyText"/>
        <w:numPr>
          <w:ilvl w:val="0"/>
          <w:numId w:val="23"/>
        </w:numPr>
      </w:pPr>
      <w:r w:rsidRPr="0008538A">
        <w:t>Mini-slot</w:t>
      </w:r>
    </w:p>
    <w:p w:rsidR="0008538A" w:rsidRPr="0008538A" w:rsidRDefault="00D35026" w:rsidP="0008538A">
      <w:pPr>
        <w:pStyle w:val="BodyText"/>
        <w:numPr>
          <w:ilvl w:val="1"/>
          <w:numId w:val="23"/>
        </w:numPr>
      </w:pPr>
      <w:r>
        <w:t xml:space="preserve">1 </w:t>
      </w:r>
      <w:r w:rsidR="0008538A" w:rsidRPr="0008538A">
        <w:t>to 6 OFDM symbols long in the numerology used for transmission</w:t>
      </w:r>
    </w:p>
    <w:p w:rsidR="0008538A" w:rsidRPr="0008538A" w:rsidRDefault="0008538A" w:rsidP="0008538A">
      <w:pPr>
        <w:pStyle w:val="BodyText"/>
        <w:numPr>
          <w:ilvl w:val="1"/>
          <w:numId w:val="23"/>
        </w:numPr>
      </w:pPr>
      <w:r w:rsidRPr="0008538A">
        <w:t>Can be aggregated with subsequent slots (but not with mini-slots)</w:t>
      </w:r>
    </w:p>
    <w:p w:rsidR="0008538A" w:rsidRPr="0008538A" w:rsidRDefault="0008538A" w:rsidP="0008538A">
      <w:pPr>
        <w:pStyle w:val="BodyText"/>
        <w:numPr>
          <w:ilvl w:val="1"/>
          <w:numId w:val="23"/>
        </w:numPr>
      </w:pPr>
      <w:r w:rsidRPr="0008538A">
        <w:t>May have DL ctrl at the beginning</w:t>
      </w:r>
    </w:p>
    <w:p w:rsidR="0008538A" w:rsidRPr="0008538A" w:rsidRDefault="0008538A" w:rsidP="0008538A">
      <w:pPr>
        <w:pStyle w:val="BodyText"/>
        <w:numPr>
          <w:ilvl w:val="1"/>
          <w:numId w:val="23"/>
        </w:numPr>
      </w:pPr>
      <w:r w:rsidRPr="0008538A">
        <w:lastRenderedPageBreak/>
        <w:t>May have UL ctrl at the end</w:t>
      </w:r>
      <w:r w:rsidR="002363B8">
        <w:t xml:space="preserve"> (pending further study)</w:t>
      </w:r>
    </w:p>
    <w:p w:rsidR="0008538A" w:rsidRPr="0008538A" w:rsidRDefault="0008538A" w:rsidP="0008538A">
      <w:pPr>
        <w:pStyle w:val="BodyText"/>
        <w:numPr>
          <w:ilvl w:val="1"/>
          <w:numId w:val="23"/>
        </w:numPr>
      </w:pPr>
      <w:r w:rsidRPr="0008538A">
        <w:t>May start at any OFDM symbol</w:t>
      </w:r>
    </w:p>
    <w:p w:rsidR="0008538A" w:rsidRDefault="0008538A" w:rsidP="0008538A">
      <w:pPr>
        <w:pStyle w:val="BodyText"/>
        <w:numPr>
          <w:ilvl w:val="1"/>
          <w:numId w:val="23"/>
        </w:numPr>
      </w:pPr>
      <w:r w:rsidRPr="0008538A">
        <w:t>Ends at a slot boundary at the latest</w:t>
      </w:r>
    </w:p>
    <w:p w:rsidR="00D35026" w:rsidRDefault="00D35026" w:rsidP="002363B8">
      <w:pPr>
        <w:pStyle w:val="BodyText"/>
      </w:pPr>
    </w:p>
    <w:p w:rsidR="002363B8" w:rsidRDefault="00D35026" w:rsidP="002363B8">
      <w:pPr>
        <w:pStyle w:val="BodyText"/>
      </w:pPr>
      <w:r>
        <w:t xml:space="preserve">At RAN1#86, </w:t>
      </w:r>
      <w:r w:rsidR="002363B8">
        <w:t xml:space="preserve">both the values 7 and 14 </w:t>
      </w:r>
      <w:r>
        <w:t xml:space="preserve">as a basic unit for slot duration had relatively large support. One possibility to address this could be to support both values, </w:t>
      </w:r>
      <w:r w:rsidR="002363B8">
        <w:t>for example through semi-static configuration</w:t>
      </w:r>
      <w:r>
        <w:t xml:space="preserve"> of 7 or 14.</w:t>
      </w:r>
      <w:r w:rsidR="002363B8">
        <w:t xml:space="preserve"> However, avoiding unnecessary configuration is highly beneficial. The number 14 can be achieved as an aggregation of two 7-symbol slots</w:t>
      </w:r>
      <w:r>
        <w:t xml:space="preserve">, hence </w:t>
      </w:r>
      <w:r w:rsidR="002363B8">
        <w:t xml:space="preserve">a single slot length of 7 symbols </w:t>
      </w:r>
      <w:r>
        <w:t>is</w:t>
      </w:r>
      <w:r w:rsidR="002363B8">
        <w:t xml:space="preserve"> sufficient. However, depending how mapping of e.g. reference signals are described there could be a difference – in case of aggregating two slots are reference signals assumed in both slots or only in the first of the two slots?</w:t>
      </w:r>
    </w:p>
    <w:p w:rsidR="002363B8" w:rsidRDefault="002363B8" w:rsidP="002363B8">
      <w:pPr>
        <w:pStyle w:val="BodyText"/>
      </w:pPr>
      <w:r>
        <w:t xml:space="preserve">In the discussion above the length </w:t>
      </w:r>
      <w:r w:rsidR="00D35026">
        <w:t>of</w:t>
      </w:r>
      <w:r>
        <w:t xml:space="preserve"> the (mini-)slots are expressed in OFDM symbols assuming normal cyclic prefix for convenience. In case of extended </w:t>
      </w:r>
      <w:r w:rsidR="00D35026">
        <w:t>cyclic</w:t>
      </w:r>
      <w:r>
        <w:t xml:space="preserve"> </w:t>
      </w:r>
      <w:proofErr w:type="gramStart"/>
      <w:r>
        <w:t>prefix</w:t>
      </w:r>
      <w:proofErr w:type="gramEnd"/>
      <w:r>
        <w:t xml:space="preserve"> a slot consists of 6 OFDM symbols instead of 7. Similarly, if one symbol is replaced by two shorter </w:t>
      </w:r>
      <w:r w:rsidR="00D35026">
        <w:t>symbols</w:t>
      </w:r>
      <w:r>
        <w:t xml:space="preserve"> with twice the subcarrier spacing, there would be 8 symbols in a slot. From a specification perspective, expressing the slots as a fixed number of “samples” (multiples of </w:t>
      </w:r>
      <w:proofErr w:type="spellStart"/>
      <w:r>
        <w:t>Ts</w:t>
      </w:r>
      <w:proofErr w:type="spellEnd"/>
      <w:r>
        <w:t xml:space="preserve">) is therefore preferable, but this can be handled when preparing the draft specifications. </w:t>
      </w:r>
    </w:p>
    <w:p w:rsidR="0046083A" w:rsidRDefault="0046083A" w:rsidP="0046083A">
      <w:pPr>
        <w:pStyle w:val="Heading1"/>
        <w:spacing w:before="180"/>
        <w:ind w:left="562" w:hanging="562"/>
      </w:pPr>
      <w:r>
        <w:t>Examples</w:t>
      </w:r>
    </w:p>
    <w:p w:rsidR="00485D47" w:rsidRDefault="00485D47" w:rsidP="00485D47">
      <w:pPr>
        <w:pStyle w:val="BodyText"/>
      </w:pPr>
      <w:r>
        <w:t xml:space="preserve">Below are some </w:t>
      </w:r>
      <w:r w:rsidR="00EF2353">
        <w:t xml:space="preserve">example </w:t>
      </w:r>
      <w:r>
        <w:t>illustrations on how the building blocks above can be combined.</w:t>
      </w:r>
      <w:r w:rsidR="00D30FD7">
        <w:t xml:space="preserve"> A </w:t>
      </w:r>
      <w:proofErr w:type="spellStart"/>
      <w:r w:rsidR="00D30FD7">
        <w:t>subframe</w:t>
      </w:r>
      <w:proofErr w:type="spellEnd"/>
      <w:r w:rsidR="00D30FD7">
        <w:t xml:space="preserve"> duration of 1 </w:t>
      </w:r>
      <w:proofErr w:type="spellStart"/>
      <w:r w:rsidR="00D30FD7">
        <w:t>ms</w:t>
      </w:r>
      <w:proofErr w:type="spellEnd"/>
      <w:r w:rsidR="00D30FD7">
        <w:t xml:space="preserve"> is assumed in these examples (i.e. the reference numerology used to define a </w:t>
      </w:r>
      <w:proofErr w:type="spellStart"/>
      <w:r w:rsidR="00D30FD7">
        <w:t>subframe</w:t>
      </w:r>
      <w:proofErr w:type="spellEnd"/>
      <w:r w:rsidR="00D30FD7">
        <w:t xml:space="preserve"> equals 15 kHz).</w:t>
      </w:r>
    </w:p>
    <w:p w:rsidR="00C5198A" w:rsidRDefault="00C5198A" w:rsidP="00485D47">
      <w:pPr>
        <w:pStyle w:val="BodyText"/>
      </w:pPr>
      <w:r>
        <w:t xml:space="preserve">In the first row of </w:t>
      </w:r>
      <w:r>
        <w:fldChar w:fldCharType="begin"/>
      </w:r>
      <w:r>
        <w:instrText xml:space="preserve"> REF _Ref462904323 \h </w:instrText>
      </w:r>
      <w:r>
        <w:fldChar w:fldCharType="separate"/>
      </w:r>
      <w:r>
        <w:t xml:space="preserve">Figure </w:t>
      </w:r>
      <w:r>
        <w:rPr>
          <w:noProof/>
        </w:rPr>
        <w:t>1</w:t>
      </w:r>
      <w:r>
        <w:fldChar w:fldCharType="end"/>
      </w:r>
      <w:r>
        <w:t xml:space="preserve">, </w:t>
      </w:r>
      <w:r w:rsidR="007A6706">
        <w:t>three</w:t>
      </w:r>
      <w:r>
        <w:t xml:space="preserve"> cases of </w:t>
      </w:r>
      <w:proofErr w:type="spellStart"/>
      <w:r>
        <w:t>eMBB</w:t>
      </w:r>
      <w:proofErr w:type="spellEnd"/>
      <w:r>
        <w:t xml:space="preserve"> transmission in case a </w:t>
      </w:r>
      <w:r w:rsidR="00D30FD7">
        <w:t>slot</w:t>
      </w:r>
      <w:r>
        <w:t xml:space="preserve"> duration of 14 OFDM symbols </w:t>
      </w:r>
      <w:r w:rsidR="007A6706">
        <w:t>are</w:t>
      </w:r>
      <w:r>
        <w:t xml:space="preserve"> illustrated. </w:t>
      </w:r>
      <w:r w:rsidR="00EF2353">
        <w:t>In case I</w:t>
      </w:r>
      <w:r>
        <w:t xml:space="preserve">, one slot of data with 15 kHz numerology (if we assume a </w:t>
      </w:r>
      <w:proofErr w:type="spellStart"/>
      <w:r>
        <w:t>subframe</w:t>
      </w:r>
      <w:proofErr w:type="spellEnd"/>
      <w:r>
        <w:t xml:space="preserve"> to be 1 </w:t>
      </w:r>
      <w:proofErr w:type="spellStart"/>
      <w:r>
        <w:t>ms</w:t>
      </w:r>
      <w:proofErr w:type="spellEnd"/>
      <w:r>
        <w:t>) is scheduled and transmitted, followed by an acknowledgement at the and</w:t>
      </w:r>
      <w:r w:rsidR="00EF2353">
        <w:t xml:space="preserve"> (the variable S=0 in the figure indicates that the data starts in the same slot and the L=1 indicated there is one slot of data scheduled)</w:t>
      </w:r>
      <w:r>
        <w:t xml:space="preserve">. In </w:t>
      </w:r>
      <w:r w:rsidR="00EF2353">
        <w:t>case II</w:t>
      </w:r>
      <w:r>
        <w:t xml:space="preserve">, two slots of 30 kHz numerology are transmitted, both independently scheduled (and possibly </w:t>
      </w:r>
      <w:r w:rsidR="00D30FD7">
        <w:t>intended for</w:t>
      </w:r>
      <w:r>
        <w:t xml:space="preserve"> different UEs) from the downlink control </w:t>
      </w:r>
      <w:r w:rsidR="007A6706">
        <w:t xml:space="preserve">in the first slot (if these slots would use 15 kHz subcarrier spacing only a single slot would fit into the </w:t>
      </w:r>
      <w:proofErr w:type="spellStart"/>
      <w:r w:rsidR="007A6706">
        <w:t>subframe</w:t>
      </w:r>
      <w:proofErr w:type="spellEnd"/>
      <w:r w:rsidR="007A6706">
        <w:t>, similar to case I).</w:t>
      </w:r>
      <w:r w:rsidR="00EF2353">
        <w:t xml:space="preserve"> Case III is similar to case II with the difference that the two slots have their control information at the beginning of the respective slot. Both of the slots have their acknowledgement at the end of the </w:t>
      </w:r>
      <w:proofErr w:type="spellStart"/>
      <w:r w:rsidR="00EF2353">
        <w:t>subframe</w:t>
      </w:r>
      <w:proofErr w:type="spellEnd"/>
      <w:r w:rsidR="00EF2353">
        <w:t xml:space="preserve"> but the acknowledgement could in principle be transmitted at the end of each slot as well.</w:t>
      </w:r>
    </w:p>
    <w:p w:rsidR="007A6706" w:rsidRDefault="007A6706" w:rsidP="00C5198A">
      <w:pPr>
        <w:pStyle w:val="BodyText"/>
        <w:keepNext/>
      </w:pPr>
      <w:r>
        <w:lastRenderedPageBreak/>
        <w:t xml:space="preserve">In the second row of </w:t>
      </w:r>
      <w:r>
        <w:fldChar w:fldCharType="begin"/>
      </w:r>
      <w:r>
        <w:instrText xml:space="preserve"> REF _Ref462904323 \h </w:instrText>
      </w:r>
      <w:r>
        <w:fldChar w:fldCharType="separate"/>
      </w:r>
      <w:r>
        <w:t xml:space="preserve">Figure </w:t>
      </w:r>
      <w:r>
        <w:rPr>
          <w:noProof/>
        </w:rPr>
        <w:t>1</w:t>
      </w:r>
      <w:r>
        <w:fldChar w:fldCharType="end"/>
      </w:r>
      <w:r>
        <w:t xml:space="preserve">, four cases of </w:t>
      </w:r>
      <w:proofErr w:type="spellStart"/>
      <w:r>
        <w:t>eMBB</w:t>
      </w:r>
      <w:proofErr w:type="spellEnd"/>
      <w:r>
        <w:t xml:space="preserve"> transmission in case a </w:t>
      </w:r>
      <w:r w:rsidR="00D30FD7">
        <w:t>slot</w:t>
      </w:r>
      <w:r>
        <w:t xml:space="preserve"> duration of 7 OFDM symbols are illustrated. These cases are to a large extent similar to the ones in the previous paragraph. In case IV, scheduling of one slot of data with 15 kHz numerology is illustrated. Note that since the slot duration is 7 OFDM symbols it will only occupy half the </w:t>
      </w:r>
      <w:proofErr w:type="spellStart"/>
      <w:r>
        <w:t>subframe</w:t>
      </w:r>
      <w:proofErr w:type="spellEnd"/>
      <w:r>
        <w:t xml:space="preserve">. Case V illustrates aggregation of two 7-symbol slots to achieve the same thing as case I, i.e. 14 symbols used for data transmission (minus whatever symbols are needed for control and guard). Cases VI and VII are similar to cases II and III, respectively, although due to the </w:t>
      </w:r>
      <w:r w:rsidR="00D30FD7">
        <w:t>shorter</w:t>
      </w:r>
      <w:r>
        <w:t xml:space="preserve"> slot duration two slots fit within one </w:t>
      </w:r>
      <w:proofErr w:type="spellStart"/>
      <w:r>
        <w:t>subframe</w:t>
      </w:r>
      <w:proofErr w:type="spellEnd"/>
      <w:r>
        <w:t xml:space="preserve"> </w:t>
      </w:r>
      <w:r w:rsidR="00D30FD7">
        <w:t>without</w:t>
      </w:r>
      <w:r>
        <w:t xml:space="preserve"> moving to the next higher numero0lgoy. </w:t>
      </w:r>
    </w:p>
    <w:p w:rsidR="007A6706" w:rsidRDefault="007A6706" w:rsidP="00C5198A">
      <w:pPr>
        <w:pStyle w:val="BodyText"/>
        <w:keepNext/>
      </w:pPr>
      <w:r>
        <w:t xml:space="preserve">The third row of </w:t>
      </w:r>
      <w:r>
        <w:fldChar w:fldCharType="begin"/>
      </w:r>
      <w:r>
        <w:instrText xml:space="preserve"> REF _Ref462904323 \h </w:instrText>
      </w:r>
      <w:r>
        <w:fldChar w:fldCharType="separate"/>
      </w:r>
      <w:r>
        <w:t xml:space="preserve">Figure </w:t>
      </w:r>
      <w:r>
        <w:rPr>
          <w:noProof/>
        </w:rPr>
        <w:t>1</w:t>
      </w:r>
      <w:r>
        <w:fldChar w:fldCharType="end"/>
      </w:r>
      <w:r>
        <w:t>, case VIII, illustrate how mini-slots can be used for latency-critical traffic. The latency-critical transmission can start at any OFDM symbol and in this case spans two OFDM symbols in total.</w:t>
      </w:r>
    </w:p>
    <w:p w:rsidR="007A6706" w:rsidRDefault="007A6706" w:rsidP="00C5198A">
      <w:pPr>
        <w:pStyle w:val="BodyText"/>
        <w:keepNext/>
      </w:pPr>
      <w:r>
        <w:t xml:space="preserve">The fourth row (case IX) illustrate the benefits from mini-slots when operating in unlicensed spectrum. The transmission can start at any OFDM symbol immediately after a successful LBT procedure without waiting until a slot boundary. The length of the mini-slot is in this case equal to the </w:t>
      </w:r>
      <w:r w:rsidR="00D30FD7">
        <w:t>distance from the start to the next slot boundary. In this example, the mini-slot is aggregated with one slot in order to fit all the data that needs to be transmitted.</w:t>
      </w:r>
    </w:p>
    <w:p w:rsidR="007A6706" w:rsidRDefault="007A6706" w:rsidP="00C5198A">
      <w:pPr>
        <w:pStyle w:val="BodyText"/>
        <w:keepNext/>
      </w:pPr>
    </w:p>
    <w:p w:rsidR="007A6706" w:rsidRDefault="007A6706" w:rsidP="00C5198A">
      <w:pPr>
        <w:pStyle w:val="BodyText"/>
        <w:keepNext/>
      </w:pPr>
    </w:p>
    <w:p w:rsidR="00C5198A" w:rsidRDefault="00DA1E8B" w:rsidP="00C5198A">
      <w:pPr>
        <w:pStyle w:val="BodyText"/>
        <w:keepNext/>
      </w:pPr>
      <w:r w:rsidRPr="00DA1E8B">
        <w:drawing>
          <wp:inline distT="0" distB="0" distL="0" distR="0">
            <wp:extent cx="5760720" cy="203053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030532"/>
                    </a:xfrm>
                    <a:prstGeom prst="rect">
                      <a:avLst/>
                    </a:prstGeom>
                    <a:noFill/>
                    <a:ln>
                      <a:noFill/>
                    </a:ln>
                  </pic:spPr>
                </pic:pic>
              </a:graphicData>
            </a:graphic>
          </wp:inline>
        </w:drawing>
      </w:r>
    </w:p>
    <w:p w:rsidR="00485D47" w:rsidRPr="00485D47" w:rsidRDefault="00C5198A" w:rsidP="00C5198A">
      <w:pPr>
        <w:pStyle w:val="Caption"/>
        <w:jc w:val="both"/>
      </w:pPr>
      <w:bookmarkStart w:id="5" w:name="_Ref462904323"/>
      <w:r>
        <w:t xml:space="preserve">Figure </w:t>
      </w:r>
      <w:r>
        <w:fldChar w:fldCharType="begin"/>
      </w:r>
      <w:r>
        <w:instrText xml:space="preserve"> SEQ Figure \* ARABIC </w:instrText>
      </w:r>
      <w:r>
        <w:fldChar w:fldCharType="separate"/>
      </w:r>
      <w:r>
        <w:rPr>
          <w:noProof/>
        </w:rPr>
        <w:t>1</w:t>
      </w:r>
      <w:r>
        <w:fldChar w:fldCharType="end"/>
      </w:r>
      <w:bookmarkEnd w:id="5"/>
      <w:r>
        <w:t>: Examples of usage of slots and mini-slots.</w:t>
      </w:r>
    </w:p>
    <w:p w:rsidR="0046083A" w:rsidRPr="0046083A" w:rsidRDefault="0046083A" w:rsidP="0046083A">
      <w:pPr>
        <w:pStyle w:val="BodyText"/>
      </w:pPr>
    </w:p>
    <w:p w:rsidR="00DD4245" w:rsidRDefault="00DD4245" w:rsidP="00DD4245">
      <w:pPr>
        <w:pStyle w:val="Heading1"/>
        <w:spacing w:before="180"/>
        <w:ind w:left="562" w:hanging="562"/>
      </w:pPr>
      <w:r>
        <w:t>Conclusion</w:t>
      </w:r>
    </w:p>
    <w:p w:rsidR="00485D47" w:rsidRPr="00485D47" w:rsidRDefault="00E73681" w:rsidP="00485D47">
      <w:pPr>
        <w:pStyle w:val="BodyText"/>
      </w:pPr>
      <w:r>
        <w:t xml:space="preserve">It is proposed to adopt the bullets in Section </w:t>
      </w:r>
      <w:r w:rsidR="00D30FD7">
        <w:fldChar w:fldCharType="begin"/>
      </w:r>
      <w:r w:rsidR="00D30FD7">
        <w:instrText xml:space="preserve"> REF _Ref462915871 \r \h </w:instrText>
      </w:r>
      <w:r w:rsidR="00D30FD7">
        <w:fldChar w:fldCharType="separate"/>
      </w:r>
      <w:r w:rsidR="00D30FD7">
        <w:t>3</w:t>
      </w:r>
      <w:r w:rsidR="00D30FD7">
        <w:fldChar w:fldCharType="end"/>
      </w:r>
      <w:r w:rsidR="00D30FD7">
        <w:t xml:space="preserve"> </w:t>
      </w:r>
      <w:r>
        <w:t>as the starting point for further work on the frame structure design.</w:t>
      </w:r>
    </w:p>
    <w:p w:rsidR="00DD4245" w:rsidRPr="00214784" w:rsidRDefault="00DD4245" w:rsidP="004C4387">
      <w:pPr>
        <w:pStyle w:val="BodyText"/>
      </w:pPr>
    </w:p>
    <w:sectPr w:rsidR="00DD4245" w:rsidRPr="0021478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787" w:rsidRDefault="00794787">
      <w:r>
        <w:separator/>
      </w:r>
    </w:p>
  </w:endnote>
  <w:endnote w:type="continuationSeparator" w:id="0">
    <w:p w:rsidR="00794787" w:rsidRDefault="0079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787" w:rsidRDefault="00794787">
      <w:r>
        <w:separator/>
      </w:r>
    </w:p>
  </w:footnote>
  <w:footnote w:type="continuationSeparator" w:id="0">
    <w:p w:rsidR="00794787" w:rsidRDefault="00794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794787"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6382201"/>
    <w:multiLevelType w:val="hybridMultilevel"/>
    <w:tmpl w:val="682A8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337DB"/>
    <w:multiLevelType w:val="hybridMultilevel"/>
    <w:tmpl w:val="27B4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C5217"/>
    <w:multiLevelType w:val="hybridMultilevel"/>
    <w:tmpl w:val="E1900F36"/>
    <w:lvl w:ilvl="0" w:tplc="C4EAE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5E4985"/>
    <w:multiLevelType w:val="hybridMultilevel"/>
    <w:tmpl w:val="6F54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4"/>
  </w:num>
  <w:num w:numId="4">
    <w:abstractNumId w:val="8"/>
  </w:num>
  <w:num w:numId="5">
    <w:abstractNumId w:val="5"/>
  </w:num>
  <w:num w:numId="6">
    <w:abstractNumId w:val="2"/>
  </w:num>
  <w:num w:numId="7">
    <w:abstractNumId w:val="15"/>
  </w:num>
  <w:num w:numId="8">
    <w:abstractNumId w:val="18"/>
  </w:num>
  <w:num w:numId="9">
    <w:abstractNumId w:val="18"/>
  </w:num>
  <w:num w:numId="10">
    <w:abstractNumId w:val="17"/>
  </w:num>
  <w:num w:numId="11">
    <w:abstractNumId w:val="18"/>
  </w:num>
  <w:num w:numId="12">
    <w:abstractNumId w:val="14"/>
  </w:num>
  <w:num w:numId="13">
    <w:abstractNumId w:val="1"/>
  </w:num>
  <w:num w:numId="14">
    <w:abstractNumId w:val="3"/>
  </w:num>
  <w:num w:numId="15">
    <w:abstractNumId w:val="9"/>
  </w:num>
  <w:num w:numId="16">
    <w:abstractNumId w:val="0"/>
  </w:num>
  <w:num w:numId="17">
    <w:abstractNumId w:val="6"/>
  </w:num>
  <w:num w:numId="18">
    <w:abstractNumId w:val="12"/>
  </w:num>
  <w:num w:numId="19">
    <w:abstractNumId w:val="19"/>
  </w:num>
  <w:num w:numId="20">
    <w:abstractNumId w:val="11"/>
  </w:num>
  <w:num w:numId="21">
    <w:abstractNumId w:val="18"/>
  </w:num>
  <w:num w:numId="22">
    <w:abstractNumId w:val="18"/>
  </w:num>
  <w:num w:numId="23">
    <w:abstractNumId w:val="16"/>
  </w:num>
  <w:num w:numId="24">
    <w:abstractNumId w:val="13"/>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4104"/>
    <w:rsid w:val="00037C51"/>
    <w:rsid w:val="0004251E"/>
    <w:rsid w:val="0008538A"/>
    <w:rsid w:val="000A258F"/>
    <w:rsid w:val="001018DF"/>
    <w:rsid w:val="00112E18"/>
    <w:rsid w:val="00114B6A"/>
    <w:rsid w:val="00141448"/>
    <w:rsid w:val="00175D32"/>
    <w:rsid w:val="00191E60"/>
    <w:rsid w:val="001B4110"/>
    <w:rsid w:val="001C5CE9"/>
    <w:rsid w:val="0021013F"/>
    <w:rsid w:val="00213EC2"/>
    <w:rsid w:val="00214784"/>
    <w:rsid w:val="002363B8"/>
    <w:rsid w:val="0027044A"/>
    <w:rsid w:val="00290099"/>
    <w:rsid w:val="002D0AB6"/>
    <w:rsid w:val="002E6A70"/>
    <w:rsid w:val="00304706"/>
    <w:rsid w:val="00343A18"/>
    <w:rsid w:val="00350180"/>
    <w:rsid w:val="00361CA8"/>
    <w:rsid w:val="003875A3"/>
    <w:rsid w:val="003A3E47"/>
    <w:rsid w:val="004067C0"/>
    <w:rsid w:val="00422F7B"/>
    <w:rsid w:val="00452A7A"/>
    <w:rsid w:val="0046083A"/>
    <w:rsid w:val="004837C7"/>
    <w:rsid w:val="00485D47"/>
    <w:rsid w:val="004B57FD"/>
    <w:rsid w:val="004C321E"/>
    <w:rsid w:val="004C4387"/>
    <w:rsid w:val="004E70DB"/>
    <w:rsid w:val="00525831"/>
    <w:rsid w:val="00537B4C"/>
    <w:rsid w:val="0054164C"/>
    <w:rsid w:val="00541E43"/>
    <w:rsid w:val="0055264E"/>
    <w:rsid w:val="0056282E"/>
    <w:rsid w:val="00566F92"/>
    <w:rsid w:val="00570BCE"/>
    <w:rsid w:val="00587AD2"/>
    <w:rsid w:val="005B39F2"/>
    <w:rsid w:val="005C439D"/>
    <w:rsid w:val="0061336B"/>
    <w:rsid w:val="0062673F"/>
    <w:rsid w:val="00665E2A"/>
    <w:rsid w:val="006A286A"/>
    <w:rsid w:val="006B271B"/>
    <w:rsid w:val="0075384C"/>
    <w:rsid w:val="007569CA"/>
    <w:rsid w:val="00794787"/>
    <w:rsid w:val="007A01C0"/>
    <w:rsid w:val="007A6706"/>
    <w:rsid w:val="00815566"/>
    <w:rsid w:val="00834DE7"/>
    <w:rsid w:val="008A0B64"/>
    <w:rsid w:val="008B23D4"/>
    <w:rsid w:val="008E31D2"/>
    <w:rsid w:val="008F77A7"/>
    <w:rsid w:val="009250C5"/>
    <w:rsid w:val="0097401A"/>
    <w:rsid w:val="009A6BB8"/>
    <w:rsid w:val="009B2E48"/>
    <w:rsid w:val="009C60EA"/>
    <w:rsid w:val="009E70EF"/>
    <w:rsid w:val="009F4079"/>
    <w:rsid w:val="00A3059E"/>
    <w:rsid w:val="00A37001"/>
    <w:rsid w:val="00A41E84"/>
    <w:rsid w:val="00A47015"/>
    <w:rsid w:val="00A757B8"/>
    <w:rsid w:val="00A81AA1"/>
    <w:rsid w:val="00A85E54"/>
    <w:rsid w:val="00AA0A42"/>
    <w:rsid w:val="00AA13EF"/>
    <w:rsid w:val="00AC2A5F"/>
    <w:rsid w:val="00AE3947"/>
    <w:rsid w:val="00B00FDB"/>
    <w:rsid w:val="00B368D9"/>
    <w:rsid w:val="00B52C5F"/>
    <w:rsid w:val="00B5516A"/>
    <w:rsid w:val="00BA2CDD"/>
    <w:rsid w:val="00BA3D9B"/>
    <w:rsid w:val="00BA76BC"/>
    <w:rsid w:val="00BF7E13"/>
    <w:rsid w:val="00C1560A"/>
    <w:rsid w:val="00C326A6"/>
    <w:rsid w:val="00C50B3C"/>
    <w:rsid w:val="00C5198A"/>
    <w:rsid w:val="00C55346"/>
    <w:rsid w:val="00C61496"/>
    <w:rsid w:val="00C93774"/>
    <w:rsid w:val="00CB4D3D"/>
    <w:rsid w:val="00CE02E7"/>
    <w:rsid w:val="00CE28B2"/>
    <w:rsid w:val="00CF2225"/>
    <w:rsid w:val="00CF67BE"/>
    <w:rsid w:val="00D02349"/>
    <w:rsid w:val="00D03119"/>
    <w:rsid w:val="00D04257"/>
    <w:rsid w:val="00D30FD7"/>
    <w:rsid w:val="00D35026"/>
    <w:rsid w:val="00D350E3"/>
    <w:rsid w:val="00D516DD"/>
    <w:rsid w:val="00D701A0"/>
    <w:rsid w:val="00DA110D"/>
    <w:rsid w:val="00DA1E8B"/>
    <w:rsid w:val="00DB3BC8"/>
    <w:rsid w:val="00DC085D"/>
    <w:rsid w:val="00DD4245"/>
    <w:rsid w:val="00DE3421"/>
    <w:rsid w:val="00E0407B"/>
    <w:rsid w:val="00E220C0"/>
    <w:rsid w:val="00E57CED"/>
    <w:rsid w:val="00E63D88"/>
    <w:rsid w:val="00E73681"/>
    <w:rsid w:val="00E83054"/>
    <w:rsid w:val="00EA148A"/>
    <w:rsid w:val="00EA172F"/>
    <w:rsid w:val="00EA1984"/>
    <w:rsid w:val="00EF2353"/>
    <w:rsid w:val="00F21365"/>
    <w:rsid w:val="00F37D49"/>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BDB9D"/>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485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88875">
      <w:bodyDiv w:val="1"/>
      <w:marLeft w:val="0"/>
      <w:marRight w:val="0"/>
      <w:marTop w:val="0"/>
      <w:marBottom w:val="0"/>
      <w:divBdr>
        <w:top w:val="none" w:sz="0" w:space="0" w:color="auto"/>
        <w:left w:val="none" w:sz="0" w:space="0" w:color="auto"/>
        <w:bottom w:val="none" w:sz="0" w:space="0" w:color="auto"/>
        <w:right w:val="none" w:sz="0" w:space="0" w:color="auto"/>
      </w:divBdr>
    </w:div>
    <w:div w:id="434132108">
      <w:bodyDiv w:val="1"/>
      <w:marLeft w:val="0"/>
      <w:marRight w:val="0"/>
      <w:marTop w:val="0"/>
      <w:marBottom w:val="0"/>
      <w:divBdr>
        <w:top w:val="none" w:sz="0" w:space="0" w:color="auto"/>
        <w:left w:val="none" w:sz="0" w:space="0" w:color="auto"/>
        <w:bottom w:val="none" w:sz="0" w:space="0" w:color="auto"/>
        <w:right w:val="none" w:sz="0" w:space="0" w:color="auto"/>
      </w:divBdr>
    </w:div>
    <w:div w:id="1469470530">
      <w:bodyDiv w:val="1"/>
      <w:marLeft w:val="0"/>
      <w:marRight w:val="0"/>
      <w:marTop w:val="0"/>
      <w:marBottom w:val="0"/>
      <w:divBdr>
        <w:top w:val="none" w:sz="0" w:space="0" w:color="auto"/>
        <w:left w:val="none" w:sz="0" w:space="0" w:color="auto"/>
        <w:bottom w:val="none" w:sz="0" w:space="0" w:color="auto"/>
        <w:right w:val="none" w:sz="0" w:space="0" w:color="auto"/>
      </w:divBdr>
      <w:divsChild>
        <w:div w:id="1446844872">
          <w:marLeft w:val="274"/>
          <w:marRight w:val="0"/>
          <w:marTop w:val="86"/>
          <w:marBottom w:val="0"/>
          <w:divBdr>
            <w:top w:val="none" w:sz="0" w:space="0" w:color="auto"/>
            <w:left w:val="none" w:sz="0" w:space="0" w:color="auto"/>
            <w:bottom w:val="none" w:sz="0" w:space="0" w:color="auto"/>
            <w:right w:val="none" w:sz="0" w:space="0" w:color="auto"/>
          </w:divBdr>
        </w:div>
        <w:div w:id="685136676">
          <w:marLeft w:val="274"/>
          <w:marRight w:val="0"/>
          <w:marTop w:val="86"/>
          <w:marBottom w:val="0"/>
          <w:divBdr>
            <w:top w:val="none" w:sz="0" w:space="0" w:color="auto"/>
            <w:left w:val="none" w:sz="0" w:space="0" w:color="auto"/>
            <w:bottom w:val="none" w:sz="0" w:space="0" w:color="auto"/>
            <w:right w:val="none" w:sz="0" w:space="0" w:color="auto"/>
          </w:divBdr>
        </w:div>
        <w:div w:id="2031712808">
          <w:marLeft w:val="274"/>
          <w:marRight w:val="0"/>
          <w:marTop w:val="86"/>
          <w:marBottom w:val="0"/>
          <w:divBdr>
            <w:top w:val="none" w:sz="0" w:space="0" w:color="auto"/>
            <w:left w:val="none" w:sz="0" w:space="0" w:color="auto"/>
            <w:bottom w:val="none" w:sz="0" w:space="0" w:color="auto"/>
            <w:right w:val="none" w:sz="0" w:space="0" w:color="auto"/>
          </w:divBdr>
        </w:div>
        <w:div w:id="289868113">
          <w:marLeft w:val="274"/>
          <w:marRight w:val="0"/>
          <w:marTop w:val="86"/>
          <w:marBottom w:val="0"/>
          <w:divBdr>
            <w:top w:val="none" w:sz="0" w:space="0" w:color="auto"/>
            <w:left w:val="none" w:sz="0" w:space="0" w:color="auto"/>
            <w:bottom w:val="none" w:sz="0" w:space="0" w:color="auto"/>
            <w:right w:val="none" w:sz="0" w:space="0" w:color="auto"/>
          </w:divBdr>
        </w:div>
        <w:div w:id="478495023">
          <w:marLeft w:val="274"/>
          <w:marRight w:val="0"/>
          <w:marTop w:val="86"/>
          <w:marBottom w:val="0"/>
          <w:divBdr>
            <w:top w:val="none" w:sz="0" w:space="0" w:color="auto"/>
            <w:left w:val="none" w:sz="0" w:space="0" w:color="auto"/>
            <w:bottom w:val="none" w:sz="0" w:space="0" w:color="auto"/>
            <w:right w:val="none" w:sz="0" w:space="0" w:color="auto"/>
          </w:divBdr>
        </w:div>
        <w:div w:id="1968900259">
          <w:marLeft w:val="274"/>
          <w:marRight w:val="0"/>
          <w:marTop w:val="86"/>
          <w:marBottom w:val="0"/>
          <w:divBdr>
            <w:top w:val="none" w:sz="0" w:space="0" w:color="auto"/>
            <w:left w:val="none" w:sz="0" w:space="0" w:color="auto"/>
            <w:bottom w:val="none" w:sz="0" w:space="0" w:color="auto"/>
            <w:right w:val="none" w:sz="0" w:space="0" w:color="auto"/>
          </w:divBdr>
        </w:div>
        <w:div w:id="2102991778">
          <w:marLeft w:val="835"/>
          <w:marRight w:val="0"/>
          <w:marTop w:val="77"/>
          <w:marBottom w:val="0"/>
          <w:divBdr>
            <w:top w:val="none" w:sz="0" w:space="0" w:color="auto"/>
            <w:left w:val="none" w:sz="0" w:space="0" w:color="auto"/>
            <w:bottom w:val="none" w:sz="0" w:space="0" w:color="auto"/>
            <w:right w:val="none" w:sz="0" w:space="0" w:color="auto"/>
          </w:divBdr>
        </w:div>
        <w:div w:id="39015109">
          <w:marLeft w:val="274"/>
          <w:marRight w:val="0"/>
          <w:marTop w:val="86"/>
          <w:marBottom w:val="0"/>
          <w:divBdr>
            <w:top w:val="none" w:sz="0" w:space="0" w:color="auto"/>
            <w:left w:val="none" w:sz="0" w:space="0" w:color="auto"/>
            <w:bottom w:val="none" w:sz="0" w:space="0" w:color="auto"/>
            <w:right w:val="none" w:sz="0" w:space="0" w:color="auto"/>
          </w:divBdr>
        </w:div>
        <w:div w:id="123893021">
          <w:marLeft w:val="274"/>
          <w:marRight w:val="0"/>
          <w:marTop w:val="86"/>
          <w:marBottom w:val="0"/>
          <w:divBdr>
            <w:top w:val="none" w:sz="0" w:space="0" w:color="auto"/>
            <w:left w:val="none" w:sz="0" w:space="0" w:color="auto"/>
            <w:bottom w:val="none" w:sz="0" w:space="0" w:color="auto"/>
            <w:right w:val="none" w:sz="0" w:space="0" w:color="auto"/>
          </w:divBdr>
        </w:div>
        <w:div w:id="1976644654">
          <w:marLeft w:val="274"/>
          <w:marRight w:val="0"/>
          <w:marTop w:val="86"/>
          <w:marBottom w:val="0"/>
          <w:divBdr>
            <w:top w:val="none" w:sz="0" w:space="0" w:color="auto"/>
            <w:left w:val="none" w:sz="0" w:space="0" w:color="auto"/>
            <w:bottom w:val="none" w:sz="0" w:space="0" w:color="auto"/>
            <w:right w:val="none" w:sz="0" w:space="0" w:color="auto"/>
          </w:divBdr>
        </w:div>
        <w:div w:id="528832894">
          <w:marLeft w:val="274"/>
          <w:marRight w:val="0"/>
          <w:marTop w:val="86"/>
          <w:marBottom w:val="0"/>
          <w:divBdr>
            <w:top w:val="none" w:sz="0" w:space="0" w:color="auto"/>
            <w:left w:val="none" w:sz="0" w:space="0" w:color="auto"/>
            <w:bottom w:val="none" w:sz="0" w:space="0" w:color="auto"/>
            <w:right w:val="none" w:sz="0" w:space="0" w:color="auto"/>
          </w:divBdr>
        </w:div>
      </w:divsChild>
    </w:div>
    <w:div w:id="185174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7044-EF80-430A-8BE2-A8B21056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2016-09-30T08:51:00Z</dcterms:created>
  <dcterms:modified xsi:type="dcterms:W3CDTF">2016-09-30T08:51:00Z</dcterms:modified>
</cp:coreProperties>
</file>